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lineRule="auto"/>
        <w:ind w:left="524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[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adresse du service des impôts des entreprises dont relève la société</w:t>
      </w:r>
      <w:r w:rsidDel="00000000" w:rsidR="00000000" w:rsidRPr="00000000">
        <w:rPr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03">
      <w:pPr>
        <w:spacing w:after="240" w:lineRule="auto"/>
        <w:ind w:left="5245" w:firstLine="0"/>
        <w:jc w:val="both"/>
        <w:rPr>
          <w:b w:val="1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lineRule="auto"/>
        <w:ind w:left="524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[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lieu</w:t>
      </w:r>
      <w:r w:rsidDel="00000000" w:rsidR="00000000" w:rsidRPr="00000000">
        <w:rPr>
          <w:sz w:val="24"/>
          <w:szCs w:val="24"/>
          <w:rtl w:val="0"/>
        </w:rPr>
        <w:t xml:space="preserve">], le [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date</w:t>
      </w:r>
      <w:r w:rsidDel="00000000" w:rsidR="00000000" w:rsidRPr="00000000">
        <w:rPr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05">
      <w:pPr>
        <w:spacing w:after="240" w:lineRule="auto"/>
        <w:ind w:left="5245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Par lettre recommandé avec accusé de réception</w:t>
      </w:r>
    </w:p>
    <w:p w:rsidR="00000000" w:rsidDel="00000000" w:rsidP="00000000" w:rsidRDefault="00000000" w:rsidRPr="00000000" w14:paraId="00000007">
      <w:pPr>
        <w:spacing w:after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Référence de la société</w:t>
      </w:r>
      <w:r w:rsidDel="00000000" w:rsidR="00000000" w:rsidRPr="00000000">
        <w:rPr>
          <w:b w:val="1"/>
          <w:sz w:val="24"/>
          <w:szCs w:val="24"/>
          <w:rtl w:val="0"/>
        </w:rPr>
        <w:t xml:space="preserve"> : [</w:t>
      </w:r>
      <w:r w:rsidDel="00000000" w:rsidR="00000000" w:rsidRPr="00000000">
        <w:rPr>
          <w:b w:val="1"/>
          <w:i w:val="1"/>
          <w:sz w:val="24"/>
          <w:szCs w:val="24"/>
          <w:highlight w:val="yellow"/>
          <w:rtl w:val="0"/>
        </w:rPr>
        <w:t xml:space="preserve">nom de la société</w:t>
      </w:r>
      <w:r w:rsidDel="00000000" w:rsidR="00000000" w:rsidRPr="00000000">
        <w:rPr>
          <w:b w:val="1"/>
          <w:sz w:val="24"/>
          <w:szCs w:val="24"/>
          <w:rtl w:val="0"/>
        </w:rPr>
        <w:t xml:space="preserve">] - </w:t>
      </w:r>
      <w:r w:rsidDel="00000000" w:rsidR="00000000" w:rsidRPr="00000000">
        <w:rPr>
          <w:sz w:val="24"/>
          <w:szCs w:val="24"/>
          <w:rtl w:val="0"/>
        </w:rPr>
        <w:t xml:space="preserve">[</w:t>
      </w:r>
      <w:r w:rsidDel="00000000" w:rsidR="00000000" w:rsidRPr="00000000">
        <w:rPr>
          <w:b w:val="1"/>
          <w:i w:val="1"/>
          <w:sz w:val="24"/>
          <w:szCs w:val="24"/>
          <w:highlight w:val="yellow"/>
          <w:rtl w:val="0"/>
        </w:rPr>
        <w:t xml:space="preserve">numéro de TVA intracommunautaire de la société</w:t>
      </w:r>
      <w:r w:rsidDel="00000000" w:rsidR="00000000" w:rsidRPr="00000000">
        <w:rPr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08">
      <w:pPr>
        <w:spacing w:after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Objet</w:t>
      </w:r>
      <w:r w:rsidDel="00000000" w:rsidR="00000000" w:rsidRPr="00000000">
        <w:rPr>
          <w:b w:val="1"/>
          <w:sz w:val="24"/>
          <w:szCs w:val="24"/>
          <w:rtl w:val="0"/>
        </w:rPr>
        <w:t xml:space="preserve"> : Option pour la TVA sur les loyers - article </w:t>
      </w:r>
      <w:hyperlink r:id="rId6">
        <w:r w:rsidDel="00000000" w:rsidR="00000000" w:rsidRPr="00000000">
          <w:rPr>
            <w:b w:val="1"/>
            <w:sz w:val="24"/>
            <w:szCs w:val="24"/>
            <w:rtl w:val="0"/>
          </w:rPr>
          <w:t xml:space="preserve">260-2° du Code général des impôts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Madame, Monsieur,</w:t>
      </w:r>
    </w:p>
    <w:p w:rsidR="00000000" w:rsidDel="00000000" w:rsidP="00000000" w:rsidRDefault="00000000" w:rsidRPr="00000000" w14:paraId="0000000C">
      <w:pPr>
        <w:spacing w:after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line="360" w:lineRule="auto"/>
        <w:ind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Nous vous informons qu’en application des articles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hyperlink r:id="rId7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260-2° du Code général des impôts</w:t>
        </w:r>
      </w:hyperlink>
      <w:r w:rsidDel="00000000" w:rsidR="00000000" w:rsidRPr="00000000">
        <w:rPr>
          <w:sz w:val="24"/>
          <w:szCs w:val="24"/>
          <w:rtl w:val="0"/>
        </w:rPr>
        <w:t xml:space="preserve"> et </w:t>
      </w:r>
      <w:hyperlink r:id="rId8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193 et suivants de l’annexe II au même code</w:t>
        </w:r>
      </w:hyperlink>
      <w:r w:rsidDel="00000000" w:rsidR="00000000" w:rsidRPr="00000000">
        <w:rPr>
          <w:sz w:val="24"/>
          <w:szCs w:val="24"/>
          <w:rtl w:val="0"/>
        </w:rPr>
        <w:t xml:space="preserve">, la société [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nom de la société</w:t>
      </w:r>
      <w:r w:rsidDel="00000000" w:rsidR="00000000" w:rsidRPr="00000000">
        <w:rPr>
          <w:sz w:val="24"/>
          <w:szCs w:val="24"/>
          <w:rtl w:val="0"/>
        </w:rPr>
        <w:t xml:space="preserve">] opte pour le paiement de la TVA sur les loyers au titre de la location d’un ensemble immobilier d’une surface totale de [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surface total des locaux</w:t>
      </w:r>
      <w:r w:rsidDel="00000000" w:rsidR="00000000" w:rsidRPr="00000000">
        <w:rPr>
          <w:sz w:val="24"/>
          <w:szCs w:val="24"/>
          <w:rtl w:val="0"/>
        </w:rPr>
        <w:t xml:space="preserve">] m² , situé [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adresse de l’immeuble ou de l’ensemble immobilier</w:t>
      </w:r>
      <w:r w:rsidDel="00000000" w:rsidR="00000000" w:rsidRPr="00000000">
        <w:rPr>
          <w:sz w:val="24"/>
          <w:szCs w:val="24"/>
          <w:rtl w:val="0"/>
        </w:rPr>
        <w:t xml:space="preserve">], cadastré [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référence cadastrale de l’immeuble</w:t>
      </w:r>
      <w:r w:rsidDel="00000000" w:rsidR="00000000" w:rsidRPr="00000000">
        <w:rPr>
          <w:sz w:val="24"/>
          <w:szCs w:val="24"/>
          <w:rtl w:val="0"/>
        </w:rPr>
        <w:t xml:space="preserve">], et constitué par un terrain sur lequel a été édifié :</w:t>
      </w:r>
    </w:p>
    <w:p w:rsidR="00000000" w:rsidDel="00000000" w:rsidP="00000000" w:rsidRDefault="00000000" w:rsidRPr="00000000" w14:paraId="0000000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tabs>
          <w:tab w:val="left" w:pos="9072"/>
          <w:tab w:val="left" w:pos="9356"/>
        </w:tabs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tabs>
          <w:tab w:val="left" w:pos="426"/>
          <w:tab w:val="left" w:pos="9072"/>
          <w:tab w:val="left" w:pos="9356"/>
        </w:tabs>
        <w:spacing w:after="120" w:line="276" w:lineRule="auto"/>
        <w:ind w:left="714" w:hanging="357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[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nature des locaux (bureaux, commerces, entrepôt, parking etc…)</w:t>
      </w:r>
      <w:r w:rsidDel="00000000" w:rsidR="00000000" w:rsidRPr="00000000">
        <w:rPr>
          <w:sz w:val="24"/>
          <w:szCs w:val="24"/>
          <w:rtl w:val="0"/>
        </w:rPr>
        <w:t xml:space="preserve">] d’une surface de [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surface des locaux dont la nature vient d’être indiquée</w:t>
      </w:r>
      <w:r w:rsidDel="00000000" w:rsidR="00000000" w:rsidRPr="00000000">
        <w:rPr>
          <w:sz w:val="24"/>
          <w:szCs w:val="24"/>
          <w:rtl w:val="0"/>
        </w:rPr>
        <w:t xml:space="preserve">] m² ;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tabs>
          <w:tab w:val="left" w:pos="426"/>
          <w:tab w:val="left" w:pos="9072"/>
          <w:tab w:val="left" w:pos="9356"/>
        </w:tabs>
        <w:spacing w:after="120" w:line="276" w:lineRule="auto"/>
        <w:ind w:left="714" w:hanging="357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[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nature des locaux (bureaux, commerces, entrepôt, parking etc…)</w:t>
      </w:r>
      <w:r w:rsidDel="00000000" w:rsidR="00000000" w:rsidRPr="00000000">
        <w:rPr>
          <w:sz w:val="24"/>
          <w:szCs w:val="24"/>
          <w:rtl w:val="0"/>
        </w:rPr>
        <w:t xml:space="preserve">] d’une surface de [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surface des locaux dont la nature vient d’être indiquée</w:t>
      </w:r>
      <w:r w:rsidDel="00000000" w:rsidR="00000000" w:rsidRPr="00000000">
        <w:rPr>
          <w:sz w:val="24"/>
          <w:szCs w:val="24"/>
          <w:rtl w:val="0"/>
        </w:rPr>
        <w:t xml:space="preserve">] m² ;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tabs>
          <w:tab w:val="left" w:pos="426"/>
          <w:tab w:val="left" w:pos="9072"/>
          <w:tab w:val="left" w:pos="9356"/>
        </w:tabs>
        <w:spacing w:after="120" w:line="276" w:lineRule="auto"/>
        <w:ind w:left="714" w:hanging="357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[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nature des locaux (bureaux, commerces, entrepôt, parking etc…)</w:t>
      </w:r>
      <w:r w:rsidDel="00000000" w:rsidR="00000000" w:rsidRPr="00000000">
        <w:rPr>
          <w:sz w:val="24"/>
          <w:szCs w:val="24"/>
          <w:rtl w:val="0"/>
        </w:rPr>
        <w:t xml:space="preserve">] d’une surface de [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surface des locaux dont la nature vient d’être indiquée</w:t>
      </w:r>
      <w:r w:rsidDel="00000000" w:rsidR="00000000" w:rsidRPr="00000000">
        <w:rPr>
          <w:sz w:val="24"/>
          <w:szCs w:val="24"/>
          <w:rtl w:val="0"/>
        </w:rPr>
        <w:t xml:space="preserve">] m². </w:t>
      </w:r>
    </w:p>
    <w:p w:rsidR="00000000" w:rsidDel="00000000" w:rsidP="00000000" w:rsidRDefault="00000000" w:rsidRPr="00000000" w14:paraId="00000012">
      <w:pPr>
        <w:spacing w:after="240" w:line="360" w:lineRule="auto"/>
        <w:ind w:firstLine="567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line="360" w:lineRule="auto"/>
        <w:ind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Nous vous remercions de l’attention accordée à notre demande et restons à votre disposition pour toute information complémentaire.</w:t>
      </w:r>
    </w:p>
    <w:p w:rsidR="00000000" w:rsidDel="00000000" w:rsidP="00000000" w:rsidRDefault="00000000" w:rsidRPr="00000000" w14:paraId="00000014">
      <w:pPr>
        <w:spacing w:after="240" w:line="360" w:lineRule="auto"/>
        <w:ind w:firstLine="567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line="360" w:lineRule="auto"/>
        <w:ind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Nous vous prions d’agréer, Madame, Monsieur, l’assurance de notre considération distinguée.</w:t>
      </w:r>
    </w:p>
    <w:p w:rsidR="00000000" w:rsidDel="00000000" w:rsidP="00000000" w:rsidRDefault="00000000" w:rsidRPr="00000000" w14:paraId="00000016">
      <w:pPr>
        <w:spacing w:after="240" w:line="360" w:lineRule="auto"/>
        <w:ind w:firstLine="567"/>
        <w:jc w:val="right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Signature du représentant légal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rPr/>
      </w:pPr>
      <w:bookmarkStart w:colFirst="0" w:colLast="0" w:name="_jr97th2h7c9t" w:id="1"/>
      <w:bookmarkEnd w:id="1"/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6834" w:w="11909"/>
      <w:pgMar w:bottom="1440" w:top="1440" w:left="1275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widowControl w:val="0"/>
      <w:jc w:val="both"/>
      <w:rPr>
        <w:i w:val="1"/>
        <w:color w:val="999999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widowControl w:val="0"/>
      <w:jc w:val="both"/>
      <w:rPr>
        <w:i w:val="1"/>
        <w:color w:val="999999"/>
        <w:sz w:val="18"/>
        <w:szCs w:val="18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widowControl w:val="0"/>
      <w:jc w:val="both"/>
      <w:rPr>
        <w:i w:val="1"/>
        <w:color w:val="999999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widowControl w:val="0"/>
      <w:jc w:val="both"/>
      <w:rPr>
        <w:i w:val="1"/>
        <w:color w:val="999999"/>
        <w:sz w:val="18"/>
        <w:szCs w:val="18"/>
      </w:rPr>
    </w:pPr>
    <w:r w:rsidDel="00000000" w:rsidR="00000000" w:rsidRPr="00000000">
      <w:rPr>
        <w:i w:val="1"/>
        <w:color w:val="999999"/>
        <w:sz w:val="18"/>
        <w:szCs w:val="18"/>
        <w:rtl w:val="0"/>
      </w:rPr>
      <w:t xml:space="preserve">Wisetax est la marque sous laquelle la société Avocode société par actions simplifiée unipersonnelle (SASU) au capital de 1000 €, sis 36 rue Breteuil 13006 Marseille, immatriculée au registre du commerce et des sociétés de Marseille sous le numéro de SIREN  837 636 356</w:t>
    </w:r>
  </w:p>
  <w:p w:rsidR="00000000" w:rsidDel="00000000" w:rsidP="00000000" w:rsidRDefault="00000000" w:rsidRPr="00000000" w14:paraId="00000023">
    <w:pPr>
      <w:widowControl w:val="0"/>
      <w:spacing w:after="100" w:lineRule="auto"/>
      <w:ind w:left="0" w:firstLine="0"/>
      <w:rPr>
        <w:color w:val="b7b7b7"/>
        <w:sz w:val="18"/>
        <w:szCs w:val="18"/>
      </w:rPr>
    </w:pPr>
    <w:r w:rsidDel="00000000" w:rsidR="00000000" w:rsidRPr="00000000">
      <w:rPr>
        <w:i w:val="1"/>
        <w:color w:val="999999"/>
        <w:sz w:val="18"/>
        <w:szCs w:val="18"/>
        <w:rtl w:val="0"/>
      </w:rPr>
      <w:t xml:space="preserve"> T: +33 (0) 637 681 353 - contact@wisetax.fr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widowControl w:val="0"/>
      <w:jc w:val="both"/>
      <w:rPr>
        <w:i w:val="1"/>
        <w:color w:val="999999"/>
        <w:sz w:val="18"/>
        <w:szCs w:val="1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widowControl w:val="0"/>
      <w:spacing w:after="100" w:lineRule="auto"/>
      <w:ind w:left="4818.897637795276" w:firstLine="0"/>
      <w:jc w:val="right"/>
      <w:rPr>
        <w:color w:val="b7b7b7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-85724</wp:posOffset>
          </wp:positionH>
          <wp:positionV relativeFrom="paragraph">
            <wp:posOffset>-247649</wp:posOffset>
          </wp:positionV>
          <wp:extent cx="2214563" cy="772127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14563" cy="77212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A">
    <w:pPr>
      <w:widowControl w:val="0"/>
      <w:spacing w:after="100" w:lineRule="auto"/>
      <w:ind w:left="4818.897637795276" w:firstLine="0"/>
      <w:jc w:val="right"/>
      <w:rPr>
        <w:color w:val="b7b7b7"/>
        <w:sz w:val="20"/>
        <w:szCs w:val="20"/>
      </w:rPr>
    </w:pPr>
    <w:r w:rsidDel="00000000" w:rsidR="00000000" w:rsidRPr="00000000">
      <w:rPr>
        <w:color w:val="b7b7b7"/>
        <w:sz w:val="20"/>
        <w:szCs w:val="20"/>
        <w:rtl w:val="0"/>
      </w:rPr>
      <w:t xml:space="preserve">www.wisetax.fr</w:t>
    </w:r>
  </w:p>
  <w:p w:rsidR="00000000" w:rsidDel="00000000" w:rsidP="00000000" w:rsidRDefault="00000000" w:rsidRPr="00000000" w14:paraId="0000001B">
    <w:pPr>
      <w:widowControl w:val="0"/>
      <w:spacing w:after="100" w:lineRule="auto"/>
      <w:ind w:left="0" w:firstLine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widowControl w:val="0"/>
      <w:spacing w:after="100" w:lineRule="auto"/>
      <w:ind w:left="4818.897637795276" w:firstLine="0"/>
      <w:rPr>
        <w:color w:val="999999"/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57151</wp:posOffset>
          </wp:positionH>
          <wp:positionV relativeFrom="paragraph">
            <wp:posOffset>-342899</wp:posOffset>
          </wp:positionV>
          <wp:extent cx="2214563" cy="772127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14563" cy="77212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widowControl w:val="0"/>
      <w:spacing w:after="100" w:lineRule="auto"/>
      <w:ind w:left="4818.897637795276" w:firstLine="0"/>
      <w:jc w:val="right"/>
      <w:rPr>
        <w:color w:val="b7b7b7"/>
        <w:sz w:val="20"/>
        <w:szCs w:val="20"/>
      </w:rPr>
    </w:pPr>
    <w:r w:rsidDel="00000000" w:rsidR="00000000" w:rsidRPr="00000000">
      <w:rPr>
        <w:color w:val="b7b7b7"/>
        <w:sz w:val="20"/>
        <w:szCs w:val="20"/>
        <w:rtl w:val="0"/>
      </w:rPr>
      <w:t xml:space="preserve">www.wisetax.fr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2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search.wisetax.fr/#/article/LEGI:CGI:260" TargetMode="External"/><Relationship Id="rId7" Type="http://schemas.openxmlformats.org/officeDocument/2006/relationships/hyperlink" Target="https://search.wisetax.fr/#/article/LEGI:CGI:260" TargetMode="External"/><Relationship Id="rId8" Type="http://schemas.openxmlformats.org/officeDocument/2006/relationships/hyperlink" Target="https://search.wisetax.fr/#/article/LEGI:CGIANX2:193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